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AE79DC" w14:paraId="51EBCE2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622D601" w14:textId="77777777" w:rsidR="00AE79DC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4178CA0B" w14:textId="77777777" w:rsidR="00AE79DC" w:rsidRDefault="00000000">
            <w:pPr>
              <w:spacing w:after="0" w:line="240" w:lineRule="auto"/>
            </w:pPr>
            <w:r>
              <w:t>31251</w:t>
            </w:r>
          </w:p>
        </w:tc>
      </w:tr>
      <w:tr w:rsidR="00AE79DC" w14:paraId="00336F7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E4FA26D" w14:textId="77777777" w:rsidR="00AE79DC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01712A7" w14:textId="77777777" w:rsidR="00AE79DC" w:rsidRDefault="00000000">
            <w:pPr>
              <w:spacing w:after="0" w:line="240" w:lineRule="auto"/>
            </w:pPr>
            <w:r>
              <w:t>DOM ZDRAVLJA SPLITSKO-DALMATINSKE ŽUPANIJE</w:t>
            </w:r>
          </w:p>
        </w:tc>
      </w:tr>
      <w:tr w:rsidR="00AE79DC" w14:paraId="3D369BE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047865D" w14:textId="77777777" w:rsidR="00AE79DC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2FA73BA" w14:textId="77777777" w:rsidR="00AE79DC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7307FE5A" w14:textId="77777777" w:rsidR="00AE79DC" w:rsidRDefault="00000000">
      <w:r>
        <w:br/>
      </w:r>
    </w:p>
    <w:p w14:paraId="14B5B231" w14:textId="77777777" w:rsidR="00AE79DC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981C012" w14:textId="77777777" w:rsidR="00AE79DC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1B223D8" w14:textId="77777777" w:rsidR="00AE79DC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4A15DCE0" w14:textId="77777777" w:rsidR="00AE79DC" w:rsidRDefault="00AE79DC"/>
    <w:p w14:paraId="43C75B2F" w14:textId="77777777" w:rsidR="00AE79D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20203CC" w14:textId="77777777" w:rsidR="00AE79DC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AE79DC" w14:paraId="46599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588E44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56826D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D63A28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1F0F7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0604CD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F31AD7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E79DC" w14:paraId="17B4E0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5AE7BA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78B2B9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6D2943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D4E92D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22.850.947,84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022429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26.618.449,27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32174E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116,5</w:t>
            </w:r>
          </w:p>
        </w:tc>
      </w:tr>
      <w:tr w:rsidR="00AE79DC" w14:paraId="79DBAE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0549D1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ED95A5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928FB1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9F4E57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22.721.665,49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8D6607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26.247.262,43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8FEF4A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115,5</w:t>
            </w:r>
          </w:p>
        </w:tc>
      </w:tr>
      <w:tr w:rsidR="00AE79DC" w14:paraId="3A3236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B1A740" w14:textId="77777777" w:rsidR="00AE79DC" w:rsidRDefault="00AE79D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6A43CC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7EB90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D4AFDB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129.282,35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6B3568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371.186,84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ECB03F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287,1</w:t>
            </w:r>
          </w:p>
        </w:tc>
      </w:tr>
      <w:tr w:rsidR="00AE79DC" w14:paraId="196283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518B43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5855B1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DC44AA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2EDAB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338.129,87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A4B700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2.304,19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0D5AD6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0,7</w:t>
            </w:r>
          </w:p>
        </w:tc>
      </w:tr>
      <w:tr w:rsidR="00AE79DC" w14:paraId="30CC375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58FBEF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C5EC06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FC60BF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184C8F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1.431.057,98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3E0D9A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792.237,95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9C85F8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55,4</w:t>
            </w:r>
          </w:p>
        </w:tc>
      </w:tr>
      <w:tr w:rsidR="00AE79DC" w14:paraId="563BF5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73B995" w14:textId="77777777" w:rsidR="00AE79DC" w:rsidRDefault="00AE79D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A34CB6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C2DC2E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858010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1.092.928,11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8EDE39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789.933,76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F006A7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72,3</w:t>
            </w:r>
          </w:p>
        </w:tc>
      </w:tr>
      <w:tr w:rsidR="00AE79DC" w14:paraId="38B4D8F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3CAE7B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FE85CB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F7FCF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B6F17B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5AC7E2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B31EE3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E79DC" w14:paraId="565388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F51264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CF4DD0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E8E2FB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58766C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220.000,00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C3F2C3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216.427,15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450167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98,4</w:t>
            </w:r>
          </w:p>
        </w:tc>
      </w:tr>
      <w:tr w:rsidR="00AE79DC" w14:paraId="7060CED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B73658" w14:textId="77777777" w:rsidR="00AE79DC" w:rsidRDefault="00AE79D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ACAB8E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3E3B67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79CFEF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220.000,00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2AE4DC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216.427,15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9A8804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98,4</w:t>
            </w:r>
          </w:p>
        </w:tc>
      </w:tr>
      <w:tr w:rsidR="00AE79DC" w14:paraId="71E42E5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EC7363" w14:textId="77777777" w:rsidR="00AE79DC" w:rsidRDefault="00AE79D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136FEA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B91A68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36DCAD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1.183.645,76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BCAAF8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635.174,07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F7C8EE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53,7</w:t>
            </w:r>
          </w:p>
        </w:tc>
      </w:tr>
    </w:tbl>
    <w:p w14:paraId="59D1F427" w14:textId="77777777" w:rsidR="00AE79DC" w:rsidRDefault="00AE79DC">
      <w:pPr>
        <w:spacing w:after="0"/>
      </w:pPr>
    </w:p>
    <w:p w14:paraId="66905974" w14:textId="77777777" w:rsidR="00AE79DC" w:rsidRDefault="00000000">
      <w:r>
        <w:t xml:space="preserve">Iz Izvještaja o prihodima i rashodima, primicima i izdacima za razdoblje od 01. siječnja 2026. do 30.06 2026. godine vidljivo je da je Dom zdravlja Splitsko-dalmatinske županije poslovao s manjkom prihoda i primitaka od 635.174,07 eura. (šifra Y005) Preneseni manjak prihoda iz proteklih godina iznosi 3.846.235,04 eura, tako da manjak prihoda i primitaka za pokriće u slijedećem razdoblju iznosi 4.481.409,11 eura.  Negativan poslovni rezultat proizišao je iz: nesrazmjera troškova i prihoda za palijativnu zdravstvenu skrb, stacionar i hemodijalize, </w:t>
      </w:r>
      <w:r>
        <w:lastRenderedPageBreak/>
        <w:t xml:space="preserve">visine glavarine koja ne prati rast troškova poslovanja, kontinuiranog povećanja cijena svih materijala, usluga, radova, energije, promjene načina knjiženja prihoda od HZZO-a za opći stacionar i palijativnu skrb koji se evidentiraju se kao obveza za primljeni predujam, povećanog broja zaposlenih. Pozitivna činjenica jest da rezultat promatranog razdoblja u odnosu na promatrano razdoblje protekle godine ipak značajno bolji zbog smanjenja spomenutih nesrazmjera, boljih vlastitih prihoda i značajnog </w:t>
      </w:r>
      <w:proofErr w:type="spellStart"/>
      <w:r>
        <w:t>uprihodovanja</w:t>
      </w:r>
      <w:proofErr w:type="spellEnd"/>
      <w:r>
        <w:t xml:space="preserve"> EU sredstava.   </w:t>
      </w:r>
    </w:p>
    <w:p w14:paraId="4AC49673" w14:textId="77777777" w:rsidR="00AE79DC" w:rsidRDefault="00000000">
      <w:r>
        <w:t>Ukupni prihodi i primici ostvareni su u iznosu od  26.620.753,46 eura, odnosno 14,8 % više nego u istom razdoblju prošle godine. Ukupni rashodi i izdaci iznose 27.255.927,53 eura, odnosno 11,8 % više nego u istom razdoblju prošle godine. Navedeni podatci pokazuju pozitivan trend u rastu prihoda u odnosu na rashode.</w:t>
      </w:r>
    </w:p>
    <w:p w14:paraId="72CC9569" w14:textId="77777777" w:rsidR="00AE79DC" w:rsidRDefault="00000000">
      <w:r>
        <w:br/>
      </w:r>
    </w:p>
    <w:p w14:paraId="2D8CE2F8" w14:textId="77777777" w:rsidR="00AE79D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10EC0775" w14:textId="77777777" w:rsidR="00AE79DC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AE79DC" w14:paraId="700DF6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E6D24B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1E6954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BB8C71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07851F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8AC756" w14:textId="77777777" w:rsidR="00AE79D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E79DC" w14:paraId="05613D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ACBE14" w14:textId="77777777" w:rsidR="00AE79DC" w:rsidRDefault="00AE79D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04F463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203BC1" w14:textId="77777777" w:rsidR="00AE79D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A12106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4.157.164,13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7CA8B6" w14:textId="77777777" w:rsidR="00AE79D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E828E80" w14:textId="77777777" w:rsidR="00AE79DC" w:rsidRDefault="00AE79DC">
      <w:pPr>
        <w:spacing w:after="0"/>
      </w:pPr>
    </w:p>
    <w:p w14:paraId="71A1CD9E" w14:textId="77777777" w:rsidR="00AE79DC" w:rsidRDefault="00000000">
      <w:r>
        <w:t>Većina dospjelih obveza odnosi se na obveze prema dobavljačima glavnih proizvoda u poslovanju Doma zdravlja kao što su lijekovi i sanitetski materijal. Ostale obveze odnose se na: obveze za živežne namirnice, za energiju, za ostale materijale i reprodukcijski  materijal, za proizvodne i neproizvodne usluge, za opremu (osnovna sredstva), obveze za usluge drugih zdravstvenih ustanova te ostale nespomenute obveze.</w:t>
      </w:r>
    </w:p>
    <w:p w14:paraId="675A0FD2" w14:textId="77777777" w:rsidR="00AE79DC" w:rsidRDefault="00AE79DC"/>
    <w:p w14:paraId="051DDB03" w14:textId="77777777" w:rsidR="00AE79DC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p w14:paraId="6567AEE5" w14:textId="77777777" w:rsidR="00AE79DC" w:rsidRDefault="00000000">
      <w:pPr>
        <w:spacing w:line="240" w:lineRule="auto"/>
        <w:jc w:val="both"/>
      </w:pPr>
      <w:r>
        <w:rPr>
          <w:b/>
        </w:rPr>
        <w:t>EU izvještaj</w:t>
      </w:r>
    </w:p>
    <w:p w14:paraId="55AD78DB" w14:textId="77777777" w:rsidR="00AE79DC" w:rsidRDefault="00000000">
      <w:r>
        <w:t>Ukupni prihodi poslovanja u iznosu od 1.313.941,00 EUR u cijelosti potječu iz kategorije „Pomoći temeljem prijenosa EU sredstava“, i to konkretno iz tekućih pomoći koje se prenose iz državnog proračuna na temelju EU sredstava (šifra 63811).</w:t>
      </w:r>
    </w:p>
    <w:p w14:paraId="7B025873" w14:textId="77777777" w:rsidR="00AE79DC" w:rsidRDefault="00000000">
      <w:r>
        <w:t>Ukupni rashodi poslovanja iznose 909.657,11 EUR i u potpunosti se odnose na tekuće poslovanje – nema rashoda za nabavu nefinancijske imovine niti izdataka za financijsku imovinu/otplatu zajmova na ovom izvoru financiranja. Rashodi za zaposlene dominiraju strukturom rashoda (93.2 %), od čega najveći dio otpada na bruto plaće za redovan rad. Materijalni rashodi odnose se prvenstveno na naknade zaposlenima (službena putovanja, prijevoz i terenski rad) te stručno usavršavanje, što je uobičajeno za projekte financirane iz EU fondova koji uključuju edukacijske i razvojne aktivnosti osoblja.</w:t>
      </w:r>
    </w:p>
    <w:p w14:paraId="24082D63" w14:textId="77777777" w:rsidR="00AE79DC" w:rsidRDefault="00AE79DC"/>
    <w:sectPr w:rsidR="00AE7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DC"/>
    <w:rsid w:val="00AE79DC"/>
    <w:rsid w:val="00B24210"/>
    <w:rsid w:val="00EA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3036D"/>
  <w15:docId w15:val="{25E3DF36-39D6-4BC4-A78B-9A9F79E6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Mijo Vukušić</dc:creator>
  <cp:lastModifiedBy>Mijo Vukušić</cp:lastModifiedBy>
  <cp:revision>2</cp:revision>
  <dcterms:created xsi:type="dcterms:W3CDTF">2026-07-15T11:19:00Z</dcterms:created>
  <dcterms:modified xsi:type="dcterms:W3CDTF">2026-07-15T11:19:00Z</dcterms:modified>
</cp:coreProperties>
</file>